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E7BBD" w14:textId="77777777" w:rsidR="00967266" w:rsidRDefault="00967266">
      <w:pPr>
        <w:keepNext/>
        <w:keepLines/>
        <w:pageBreakBefore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720" w:hanging="360"/>
        <w:rPr>
          <w:rFonts w:ascii="Carlito Bold" w:eastAsia="Carlito Bold" w:hAnsi="Carlito Bold" w:cs="Carlito Bold"/>
          <w:b/>
          <w:color w:val="EA5B16"/>
          <w:sz w:val="38"/>
          <w:szCs w:val="38"/>
        </w:rPr>
      </w:pPr>
    </w:p>
    <w:p w14:paraId="5C4DE889" w14:textId="77777777" w:rsidR="00967266" w:rsidRDefault="008E6CB6">
      <w:pPr>
        <w:pStyle w:val="a3"/>
        <w:jc w:val="center"/>
        <w:rPr>
          <w:sz w:val="48"/>
          <w:szCs w:val="48"/>
        </w:rPr>
      </w:pPr>
      <w:r>
        <w:rPr>
          <w:sz w:val="48"/>
          <w:szCs w:val="48"/>
        </w:rPr>
        <w:t>Requirements Specifications</w:t>
      </w:r>
    </w:p>
    <w:p w14:paraId="33DEB8AC" w14:textId="77777777" w:rsidR="00967266" w:rsidRDefault="00967266">
      <w:pPr>
        <w:jc w:val="center"/>
        <w:rPr>
          <w:sz w:val="48"/>
          <w:szCs w:val="48"/>
          <w:highlight w:val="yellow"/>
        </w:rPr>
      </w:pPr>
    </w:p>
    <w:p w14:paraId="025F5D5A" w14:textId="77777777" w:rsidR="00967266" w:rsidRDefault="008E6CB6">
      <w:pPr>
        <w:pStyle w:val="a3"/>
      </w:pPr>
      <w:r>
        <w:t>SAKURA-APM</w:t>
      </w:r>
    </w:p>
    <w:p w14:paraId="1F8D0862" w14:textId="77777777" w:rsidR="00967266" w:rsidRDefault="008E6CB6">
      <w:pPr>
        <w:pStyle w:val="a3"/>
      </w:pPr>
      <w:r>
        <w:t xml:space="preserve">Asset Performance Management System for grain processing industry SAKURA-APM, </w:t>
      </w:r>
    </w:p>
    <w:p w14:paraId="00876469" w14:textId="77777777" w:rsidR="00967266" w:rsidRDefault="008E6CB6">
      <w:pPr>
        <w:pStyle w:val="a3"/>
      </w:pPr>
      <w:r>
        <w:t>PaaS SAKURA-</w:t>
      </w:r>
      <w:proofErr w:type="spellStart"/>
      <w:r>
        <w:t>IIoT</w:t>
      </w:r>
      <w:proofErr w:type="spellEnd"/>
      <w:r>
        <w:t xml:space="preserve"> based</w:t>
      </w:r>
    </w:p>
    <w:p w14:paraId="6523BB3A" w14:textId="77777777" w:rsidR="00967266" w:rsidRDefault="00967266">
      <w:pPr>
        <w:jc w:val="center"/>
      </w:pPr>
    </w:p>
    <w:p w14:paraId="26D28AEC" w14:textId="77777777" w:rsidR="00967266" w:rsidRDefault="00967266"/>
    <w:tbl>
      <w:tblPr>
        <w:tblStyle w:val="aff5"/>
        <w:tblW w:w="835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41"/>
        <w:gridCol w:w="1415"/>
      </w:tblGrid>
      <w:tr w:rsidR="00967266" w14:paraId="43530C87" w14:textId="77777777">
        <w:trPr>
          <w:trHeight w:val="339"/>
          <w:jc w:val="center"/>
        </w:trPr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83F6C" w14:textId="77777777" w:rsidR="00967266" w:rsidRDefault="008E6CB6">
            <w:pPr>
              <w:jc w:val="center"/>
              <w:rPr>
                <w:b/>
              </w:rPr>
            </w:pPr>
            <w:r>
              <w:rPr>
                <w:b/>
              </w:rPr>
              <w:t>Organisation name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5FB37" w14:textId="77777777" w:rsidR="00967266" w:rsidRDefault="008E6CB6">
            <w:pPr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</w:tc>
      </w:tr>
      <w:tr w:rsidR="00967266" w14:paraId="6903BC29" w14:textId="77777777">
        <w:trPr>
          <w:trHeight w:val="69"/>
          <w:jc w:val="center"/>
        </w:trPr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145C93" w14:textId="77777777" w:rsidR="00967266" w:rsidRDefault="008E6CB6">
            <w:pPr>
              <w:spacing w:line="360" w:lineRule="auto"/>
              <w:jc w:val="left"/>
            </w:pPr>
            <w:r>
              <w:t>Centre 4.0 KPI DIH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306E48" w14:textId="77777777" w:rsidR="00967266" w:rsidRDefault="008E6CB6">
            <w:pPr>
              <w:spacing w:line="360" w:lineRule="auto"/>
              <w:jc w:val="center"/>
            </w:pPr>
            <w:r>
              <w:t>DIH</w:t>
            </w:r>
          </w:p>
        </w:tc>
      </w:tr>
      <w:tr w:rsidR="00967266" w14:paraId="62F0BBEE" w14:textId="77777777">
        <w:trPr>
          <w:trHeight w:val="280"/>
          <w:jc w:val="center"/>
        </w:trPr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566269" w14:textId="77777777" w:rsidR="00967266" w:rsidRDefault="008E6CB6">
            <w:pPr>
              <w:spacing w:line="360" w:lineRule="auto"/>
              <w:jc w:val="left"/>
            </w:pPr>
            <w:r>
              <w:t>INNOVINNPROM LTD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0A371A" w14:textId="77777777" w:rsidR="00967266" w:rsidRDefault="008E6CB6">
            <w:pPr>
              <w:spacing w:line="360" w:lineRule="auto"/>
              <w:jc w:val="center"/>
            </w:pPr>
            <w:r>
              <w:t>SME</w:t>
            </w:r>
          </w:p>
        </w:tc>
      </w:tr>
    </w:tbl>
    <w:p w14:paraId="48669159" w14:textId="77777777" w:rsidR="00967266" w:rsidRDefault="00967266"/>
    <w:p w14:paraId="21E2CEC9" w14:textId="77777777" w:rsidR="00967266" w:rsidRDefault="00967266"/>
    <w:p w14:paraId="1523CB7D" w14:textId="77777777" w:rsidR="00967266" w:rsidRDefault="008E6C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left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>SME Coordinator contact:</w:t>
      </w:r>
    </w:p>
    <w:p w14:paraId="1942456B" w14:textId="77777777" w:rsidR="00967266" w:rsidRDefault="008E6C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60" w:line="240" w:lineRule="auto"/>
        <w:jc w:val="left"/>
      </w:pPr>
      <w:r>
        <w:t xml:space="preserve">Andrii </w:t>
      </w:r>
      <w:proofErr w:type="spellStart"/>
      <w:r>
        <w:t>Lukhverchyk</w:t>
      </w:r>
      <w:proofErr w:type="spellEnd"/>
    </w:p>
    <w:p w14:paraId="1E6DC688" w14:textId="77777777" w:rsidR="00967266" w:rsidRDefault="008E6C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60" w:line="240" w:lineRule="auto"/>
        <w:jc w:val="left"/>
        <w:rPr>
          <w:color w:val="4D4D4D"/>
          <w:highlight w:val="yellow"/>
        </w:rPr>
      </w:pPr>
      <w:r>
        <w:t>INNOVINNPROM</w:t>
      </w:r>
      <w:r>
        <w:rPr>
          <w:color w:val="4D4D4D"/>
        </w:rPr>
        <w:t xml:space="preserve"> </w:t>
      </w:r>
      <w:r>
        <w:t>LTD</w:t>
      </w:r>
    </w:p>
    <w:p w14:paraId="74660CC5" w14:textId="77777777" w:rsidR="00967266" w:rsidRDefault="008E6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line="240" w:lineRule="auto"/>
        <w:jc w:val="left"/>
        <w:rPr>
          <w:color w:val="000000"/>
        </w:rPr>
      </w:pPr>
      <w:hyperlink r:id="rId6">
        <w:r>
          <w:rPr>
            <w:color w:val="0000FF"/>
            <w:u w:val="single"/>
          </w:rPr>
          <w:t>info@innovinnprom.com</w:t>
        </w:r>
      </w:hyperlink>
    </w:p>
    <w:p w14:paraId="0A04D8B5" w14:textId="77777777" w:rsidR="00967266" w:rsidRDefault="008E6C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60" w:line="240" w:lineRule="auto"/>
        <w:jc w:val="left"/>
        <w:rPr>
          <w:color w:val="4D4D4D"/>
          <w:highlight w:val="yellow"/>
        </w:rPr>
      </w:pPr>
      <w:hyperlink r:id="rId7">
        <w:r>
          <w:rPr>
            <w:color w:val="0000FF"/>
            <w:u w:val="single"/>
          </w:rPr>
          <w:t>andrey.lukhverchik@innovinnprom.com</w:t>
        </w:r>
      </w:hyperlink>
    </w:p>
    <w:p w14:paraId="76FA4409" w14:textId="77777777" w:rsidR="00967266" w:rsidRDefault="008E6C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60" w:line="240" w:lineRule="auto"/>
        <w:jc w:val="left"/>
        <w:rPr>
          <w:color w:val="4D4D4D"/>
          <w:sz w:val="28"/>
          <w:szCs w:val="28"/>
        </w:rPr>
      </w:pPr>
      <w:r>
        <w:rPr>
          <w:color w:val="4D4D4D"/>
        </w:rPr>
        <w:t>(+38) 050 968 6325</w:t>
      </w:r>
    </w:p>
    <w:p w14:paraId="7A10F484" w14:textId="77777777" w:rsidR="00967266" w:rsidRDefault="0096726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left"/>
        <w:rPr>
          <w:color w:val="4D4D4D"/>
        </w:rPr>
      </w:pPr>
    </w:p>
    <w:p w14:paraId="778177D7" w14:textId="77777777" w:rsidR="00967266" w:rsidRDefault="0096726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left"/>
        <w:rPr>
          <w:color w:val="4D4D4D"/>
          <w:sz w:val="24"/>
          <w:szCs w:val="24"/>
        </w:rPr>
      </w:pPr>
    </w:p>
    <w:p w14:paraId="3CDF781B" w14:textId="77777777" w:rsidR="00967266" w:rsidRDefault="00967266">
      <w:pPr>
        <w:pBdr>
          <w:top w:val="nil"/>
          <w:left w:val="nil"/>
          <w:bottom w:val="nil"/>
          <w:right w:val="nil"/>
          <w:between w:val="nil"/>
        </w:pBdr>
      </w:pPr>
    </w:p>
    <w:p w14:paraId="640F672B" w14:textId="77777777" w:rsidR="00967266" w:rsidRDefault="00967266"/>
    <w:p w14:paraId="3DF5C1C6" w14:textId="77777777" w:rsidR="00967266" w:rsidRDefault="00967266"/>
    <w:p w14:paraId="1817AB03" w14:textId="77777777" w:rsidR="00967266" w:rsidRDefault="00967266">
      <w:pPr>
        <w:spacing w:after="200" w:line="276" w:lineRule="auto"/>
        <w:jc w:val="left"/>
        <w:rPr>
          <w:b/>
          <w:color w:val="0070C0"/>
          <w:sz w:val="44"/>
          <w:szCs w:val="44"/>
        </w:rPr>
      </w:pPr>
    </w:p>
    <w:p w14:paraId="5F086303" w14:textId="77777777" w:rsidR="00967266" w:rsidRDefault="008E6CB6">
      <w:pPr>
        <w:spacing w:after="200" w:line="276" w:lineRule="auto"/>
        <w:jc w:val="left"/>
        <w:rPr>
          <w:b/>
          <w:color w:val="0070C0"/>
          <w:sz w:val="44"/>
          <w:szCs w:val="44"/>
        </w:rPr>
      </w:pPr>
      <w:r>
        <w:br w:type="page"/>
      </w:r>
    </w:p>
    <w:p w14:paraId="5FCB4A85" w14:textId="77777777" w:rsidR="00967266" w:rsidRDefault="008E6C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480" w:line="240" w:lineRule="auto"/>
        <w:rPr>
          <w:color w:val="EA5B16"/>
          <w:sz w:val="32"/>
          <w:szCs w:val="32"/>
        </w:rPr>
      </w:pPr>
      <w:r>
        <w:rPr>
          <w:color w:val="EA5B16"/>
          <w:sz w:val="32"/>
          <w:szCs w:val="32"/>
        </w:rPr>
        <w:lastRenderedPageBreak/>
        <w:t>Abstract</w:t>
      </w:r>
    </w:p>
    <w:p w14:paraId="14F6C7C1" w14:textId="77777777" w:rsidR="00967266" w:rsidRDefault="008E6CB6">
      <w:pPr>
        <w:ind w:right="75"/>
      </w:pPr>
      <w:r>
        <w:t xml:space="preserve">Our goal is to launch an Asset Performance Management (APM) system in the grain elevator segment based on the </w:t>
      </w:r>
      <w:proofErr w:type="spellStart"/>
      <w:r>
        <w:t>IIoT</w:t>
      </w:r>
      <w:proofErr w:type="spellEnd"/>
      <w:r>
        <w:t xml:space="preserve"> platform. To do this, we need to refine the existing solution (TRL7) using Digital Twin, AI &amp; ML. SaaS SAKURA-APM is a new, unique product fo</w:t>
      </w:r>
      <w:r>
        <w:t xml:space="preserve">r the grain processing industry, which has no analogues in Eastern Europe. </w:t>
      </w:r>
    </w:p>
    <w:p w14:paraId="5A59FF1E" w14:textId="77777777" w:rsidR="00967266" w:rsidRDefault="008E6CB6">
      <w:pPr>
        <w:ind w:right="75"/>
      </w:pPr>
      <w:r>
        <w:t xml:space="preserve">APM will allow our customers to: </w:t>
      </w:r>
    </w:p>
    <w:p w14:paraId="499D1117" w14:textId="77777777" w:rsidR="00967266" w:rsidRDefault="008E6CB6">
      <w:pPr>
        <w:numPr>
          <w:ilvl w:val="0"/>
          <w:numId w:val="1"/>
        </w:numPr>
        <w:ind w:left="426" w:right="75"/>
      </w:pPr>
      <w:r>
        <w:t xml:space="preserve">optimize production and reduce quality losses; </w:t>
      </w:r>
    </w:p>
    <w:p w14:paraId="29A58E7A" w14:textId="77777777" w:rsidR="00967266" w:rsidRDefault="008E6CB6">
      <w:pPr>
        <w:numPr>
          <w:ilvl w:val="0"/>
          <w:numId w:val="1"/>
        </w:numPr>
        <w:ind w:left="426" w:right="75"/>
      </w:pPr>
      <w:r>
        <w:t xml:space="preserve">reduce elevator energy consumption; </w:t>
      </w:r>
    </w:p>
    <w:p w14:paraId="4F57A01B" w14:textId="77777777" w:rsidR="00967266" w:rsidRDefault="008E6CB6">
      <w:pPr>
        <w:numPr>
          <w:ilvl w:val="0"/>
          <w:numId w:val="1"/>
        </w:numPr>
        <w:ind w:left="426" w:right="75"/>
      </w:pPr>
      <w:r>
        <w:t xml:space="preserve">reduce production losses of elevators; </w:t>
      </w:r>
    </w:p>
    <w:p w14:paraId="6FA61814" w14:textId="77777777" w:rsidR="00967266" w:rsidRDefault="008E6CB6">
      <w:pPr>
        <w:numPr>
          <w:ilvl w:val="0"/>
          <w:numId w:val="1"/>
        </w:numPr>
        <w:ind w:left="426" w:right="75"/>
      </w:pPr>
      <w:r>
        <w:t>reduce emissions.</w:t>
      </w:r>
    </w:p>
    <w:p w14:paraId="51F6A329" w14:textId="77777777" w:rsidR="00967266" w:rsidRDefault="008E6CB6">
      <w:pPr>
        <w:ind w:right="75"/>
      </w:pPr>
      <w:r>
        <w:t>Our</w:t>
      </w:r>
      <w:r>
        <w:t xml:space="preserve"> strategy is to better adapt existing modern IoT-based solutions. It takes into account the latest innovations in the </w:t>
      </w:r>
      <w:proofErr w:type="spellStart"/>
      <w:r>
        <w:t>IIoT</w:t>
      </w:r>
      <w:proofErr w:type="spellEnd"/>
      <w:r>
        <w:t xml:space="preserve"> segment and offers a new business model that will improve economic performance and provide a new level of customer experience managem</w:t>
      </w:r>
      <w:r>
        <w:t xml:space="preserve">ent. </w:t>
      </w:r>
    </w:p>
    <w:p w14:paraId="7DDE4B4F" w14:textId="77777777" w:rsidR="00967266" w:rsidRDefault="008E6CB6">
      <w:pPr>
        <w:ind w:right="75"/>
      </w:pPr>
      <w:r>
        <w:t xml:space="preserve">The solution is adapted to the sectoral and local conditions of Eastern Europe and takes into account the following principles and their advantages: </w:t>
      </w:r>
    </w:p>
    <w:p w14:paraId="53FC19B9" w14:textId="77777777" w:rsidR="00967266" w:rsidRDefault="008E6CB6">
      <w:pPr>
        <w:numPr>
          <w:ilvl w:val="0"/>
          <w:numId w:val="1"/>
        </w:numPr>
        <w:ind w:left="426" w:right="75"/>
      </w:pPr>
      <w:r>
        <w:t xml:space="preserve">Democratization - from multilevel structure ERP/MES/SCADA to </w:t>
      </w:r>
      <w:proofErr w:type="spellStart"/>
      <w:r>
        <w:t>IIoT</w:t>
      </w:r>
      <w:proofErr w:type="spellEnd"/>
      <w:r>
        <w:t xml:space="preserve"> based APM. </w:t>
      </w:r>
    </w:p>
    <w:p w14:paraId="0973AA26" w14:textId="77777777" w:rsidR="00967266" w:rsidRDefault="008E6CB6">
      <w:pPr>
        <w:numPr>
          <w:ilvl w:val="0"/>
          <w:numId w:val="1"/>
        </w:numPr>
        <w:ind w:left="426" w:right="75"/>
      </w:pPr>
      <w:r>
        <w:t>Accessibility - use of</w:t>
      </w:r>
      <w:r>
        <w:t xml:space="preserve"> more affordable IoT devices (power meters, sensors, counters, etc.), application of Open Source &amp; Cloud Technologies. </w:t>
      </w:r>
    </w:p>
    <w:p w14:paraId="35532269" w14:textId="77777777" w:rsidR="00967266" w:rsidRDefault="008E6CB6">
      <w:pPr>
        <w:numPr>
          <w:ilvl w:val="0"/>
          <w:numId w:val="1"/>
        </w:numPr>
        <w:ind w:left="426" w:right="75"/>
      </w:pPr>
      <w:r>
        <w:t xml:space="preserve">Better experience management - available &amp; supported own PaaS with new services and built-in Digital Twin, AI &amp; ML technologies. </w:t>
      </w:r>
    </w:p>
    <w:p w14:paraId="515BEF3C" w14:textId="77777777" w:rsidR="00967266" w:rsidRDefault="008E6CB6">
      <w:pPr>
        <w:numPr>
          <w:ilvl w:val="0"/>
          <w:numId w:val="1"/>
        </w:numPr>
        <w:ind w:left="426" w:right="75"/>
      </w:pPr>
      <w:r>
        <w:t>Better</w:t>
      </w:r>
      <w:r>
        <w:t xml:space="preserve"> efficiency - own model of accounting for quantitative and qualitative indicators of raw materials and products, own algorithms for assessing efficiency. </w:t>
      </w:r>
    </w:p>
    <w:p w14:paraId="4EF5A983" w14:textId="77777777" w:rsidR="00967266" w:rsidRDefault="008E6CB6">
      <w:pPr>
        <w:numPr>
          <w:ilvl w:val="0"/>
          <w:numId w:val="1"/>
        </w:numPr>
        <w:ind w:left="426" w:right="75"/>
      </w:pPr>
      <w:r>
        <w:t>Green transition - emission reduction, environmental product certification.</w:t>
      </w:r>
    </w:p>
    <w:p w14:paraId="4174E2D4" w14:textId="77777777" w:rsidR="00967266" w:rsidRDefault="00967266"/>
    <w:p w14:paraId="3C2EA97F" w14:textId="77777777" w:rsidR="00967266" w:rsidRDefault="00967266"/>
    <w:p w14:paraId="652935BE" w14:textId="77777777" w:rsidR="00967266" w:rsidRDefault="008E6CB6">
      <w:pPr>
        <w:keepNext/>
        <w:keepLines/>
        <w:pageBreakBefore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431" w:hanging="431"/>
      </w:pPr>
      <w:bookmarkStart w:id="0" w:name="_heading=h.gjdgxs" w:colFirst="0" w:colLast="0"/>
      <w:bookmarkEnd w:id="0"/>
      <w:r>
        <w:rPr>
          <w:rFonts w:ascii="Carlito Bold" w:eastAsia="Carlito Bold" w:hAnsi="Carlito Bold" w:cs="Carlito Bold"/>
          <w:b/>
          <w:color w:val="EA5B16"/>
          <w:sz w:val="28"/>
          <w:szCs w:val="28"/>
        </w:rPr>
        <w:lastRenderedPageBreak/>
        <w:t>Hardware specification</w:t>
      </w:r>
    </w:p>
    <w:p w14:paraId="78FF943C" w14:textId="77777777" w:rsidR="00967266" w:rsidRDefault="00967266"/>
    <w:tbl>
      <w:tblPr>
        <w:tblStyle w:val="aff6"/>
        <w:tblW w:w="8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5670"/>
        <w:gridCol w:w="1912"/>
      </w:tblGrid>
      <w:tr w:rsidR="00967266" w14:paraId="6F076FBA" w14:textId="77777777">
        <w:tc>
          <w:tcPr>
            <w:tcW w:w="988" w:type="dxa"/>
          </w:tcPr>
          <w:p w14:paraId="7FE6B64F" w14:textId="77777777" w:rsidR="00967266" w:rsidRDefault="008E6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5670" w:type="dxa"/>
          </w:tcPr>
          <w:p w14:paraId="50ECDFEC" w14:textId="77777777" w:rsidR="00967266" w:rsidRDefault="008E6CB6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Component</w:t>
            </w:r>
          </w:p>
        </w:tc>
        <w:tc>
          <w:tcPr>
            <w:tcW w:w="1912" w:type="dxa"/>
          </w:tcPr>
          <w:p w14:paraId="2A5737E1" w14:textId="77777777" w:rsidR="00967266" w:rsidRDefault="008E6CB6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Amount</w:t>
            </w:r>
          </w:p>
        </w:tc>
      </w:tr>
      <w:tr w:rsidR="00967266" w14:paraId="01F0245B" w14:textId="77777777">
        <w:tc>
          <w:tcPr>
            <w:tcW w:w="988" w:type="dxa"/>
            <w:shd w:val="clear" w:color="auto" w:fill="auto"/>
          </w:tcPr>
          <w:p w14:paraId="0B562D3B" w14:textId="77777777" w:rsidR="00967266" w:rsidRDefault="008E6CB6">
            <w:r>
              <w:t>1</w:t>
            </w:r>
          </w:p>
        </w:tc>
        <w:tc>
          <w:tcPr>
            <w:tcW w:w="5670" w:type="dxa"/>
            <w:shd w:val="clear" w:color="auto" w:fill="auto"/>
          </w:tcPr>
          <w:p w14:paraId="0411F140" w14:textId="77777777" w:rsidR="00967266" w:rsidRDefault="008E6CB6">
            <w:r>
              <w:t xml:space="preserve">Gateway </w:t>
            </w:r>
            <w:proofErr w:type="spellStart"/>
            <w:r>
              <w:t>Teltonika</w:t>
            </w:r>
            <w:proofErr w:type="spellEnd"/>
            <w:r>
              <w:t xml:space="preserve"> RUT956</w:t>
            </w:r>
          </w:p>
        </w:tc>
        <w:tc>
          <w:tcPr>
            <w:tcW w:w="1912" w:type="dxa"/>
            <w:shd w:val="clear" w:color="auto" w:fill="auto"/>
          </w:tcPr>
          <w:p w14:paraId="3F60DC4C" w14:textId="77777777" w:rsidR="00967266" w:rsidRDefault="008E6CB6">
            <w:pPr>
              <w:jc w:val="center"/>
            </w:pPr>
            <w:r>
              <w:t>1</w:t>
            </w:r>
          </w:p>
        </w:tc>
      </w:tr>
      <w:tr w:rsidR="00967266" w14:paraId="46ACADCA" w14:textId="77777777">
        <w:tc>
          <w:tcPr>
            <w:tcW w:w="988" w:type="dxa"/>
            <w:shd w:val="clear" w:color="auto" w:fill="auto"/>
          </w:tcPr>
          <w:p w14:paraId="74AF7B3E" w14:textId="77777777" w:rsidR="00967266" w:rsidRDefault="008E6CB6">
            <w:r>
              <w:t>2</w:t>
            </w:r>
          </w:p>
        </w:tc>
        <w:tc>
          <w:tcPr>
            <w:tcW w:w="5670" w:type="dxa"/>
            <w:shd w:val="clear" w:color="auto" w:fill="auto"/>
          </w:tcPr>
          <w:p w14:paraId="0B17DE9C" w14:textId="77777777" w:rsidR="00967266" w:rsidRDefault="008E6CB6">
            <w:r>
              <w:t>Power Meter INNOVINNPROM PKZM-3Pf4Ch</w:t>
            </w:r>
          </w:p>
        </w:tc>
        <w:tc>
          <w:tcPr>
            <w:tcW w:w="1912" w:type="dxa"/>
            <w:shd w:val="clear" w:color="auto" w:fill="auto"/>
          </w:tcPr>
          <w:p w14:paraId="2DC3AC10" w14:textId="77777777" w:rsidR="00967266" w:rsidRDefault="008E6CB6">
            <w:pPr>
              <w:jc w:val="center"/>
            </w:pPr>
            <w:r>
              <w:t>3</w:t>
            </w:r>
          </w:p>
        </w:tc>
      </w:tr>
      <w:tr w:rsidR="00967266" w14:paraId="78FE0FD8" w14:textId="77777777">
        <w:tc>
          <w:tcPr>
            <w:tcW w:w="988" w:type="dxa"/>
            <w:shd w:val="clear" w:color="auto" w:fill="auto"/>
          </w:tcPr>
          <w:p w14:paraId="6993FF43" w14:textId="77777777" w:rsidR="00967266" w:rsidRDefault="00967266"/>
        </w:tc>
        <w:tc>
          <w:tcPr>
            <w:tcW w:w="5670" w:type="dxa"/>
            <w:shd w:val="clear" w:color="auto" w:fill="auto"/>
          </w:tcPr>
          <w:p w14:paraId="6DB4A838" w14:textId="77777777" w:rsidR="00967266" w:rsidRDefault="00967266"/>
        </w:tc>
        <w:tc>
          <w:tcPr>
            <w:tcW w:w="1912" w:type="dxa"/>
            <w:shd w:val="clear" w:color="auto" w:fill="auto"/>
          </w:tcPr>
          <w:p w14:paraId="46A6685A" w14:textId="77777777" w:rsidR="00967266" w:rsidRDefault="00967266">
            <w:pPr>
              <w:jc w:val="center"/>
            </w:pPr>
          </w:p>
        </w:tc>
      </w:tr>
      <w:tr w:rsidR="00967266" w14:paraId="5D1C4B27" w14:textId="77777777">
        <w:tc>
          <w:tcPr>
            <w:tcW w:w="988" w:type="dxa"/>
            <w:shd w:val="clear" w:color="auto" w:fill="auto"/>
          </w:tcPr>
          <w:p w14:paraId="45B2D8CA" w14:textId="77777777" w:rsidR="00967266" w:rsidRDefault="00967266"/>
        </w:tc>
        <w:tc>
          <w:tcPr>
            <w:tcW w:w="5670" w:type="dxa"/>
            <w:shd w:val="clear" w:color="auto" w:fill="auto"/>
          </w:tcPr>
          <w:p w14:paraId="79339904" w14:textId="77777777" w:rsidR="00967266" w:rsidRDefault="00967266"/>
        </w:tc>
        <w:tc>
          <w:tcPr>
            <w:tcW w:w="1912" w:type="dxa"/>
            <w:shd w:val="clear" w:color="auto" w:fill="auto"/>
          </w:tcPr>
          <w:p w14:paraId="4B823446" w14:textId="77777777" w:rsidR="00967266" w:rsidRDefault="00967266">
            <w:pPr>
              <w:jc w:val="center"/>
            </w:pPr>
          </w:p>
        </w:tc>
      </w:tr>
    </w:tbl>
    <w:p w14:paraId="217BFC53" w14:textId="77777777" w:rsidR="00967266" w:rsidRDefault="00967266"/>
    <w:p w14:paraId="2C8BB7DF" w14:textId="77777777" w:rsidR="00967266" w:rsidRDefault="008E6CB6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431" w:hanging="431"/>
      </w:pPr>
      <w:r>
        <w:rPr>
          <w:rFonts w:ascii="Carlito Bold" w:eastAsia="Carlito Bold" w:hAnsi="Carlito Bold" w:cs="Carlito Bold"/>
          <w:b/>
          <w:color w:val="EA5B16"/>
          <w:sz w:val="28"/>
          <w:szCs w:val="28"/>
        </w:rPr>
        <w:t>Software specification</w:t>
      </w:r>
    </w:p>
    <w:p w14:paraId="0719B6F0" w14:textId="77777777" w:rsidR="00967266" w:rsidRDefault="00967266"/>
    <w:tbl>
      <w:tblPr>
        <w:tblStyle w:val="aff7"/>
        <w:tblW w:w="8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5670"/>
        <w:gridCol w:w="1912"/>
      </w:tblGrid>
      <w:tr w:rsidR="00967266" w14:paraId="0C069445" w14:textId="77777777">
        <w:trPr>
          <w:tblHeader/>
        </w:trPr>
        <w:tc>
          <w:tcPr>
            <w:tcW w:w="988" w:type="dxa"/>
          </w:tcPr>
          <w:p w14:paraId="008BCF43" w14:textId="77777777" w:rsidR="00967266" w:rsidRDefault="008E6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5670" w:type="dxa"/>
          </w:tcPr>
          <w:p w14:paraId="0E9AE80D" w14:textId="77777777" w:rsidR="00967266" w:rsidRDefault="008E6CB6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Component</w:t>
            </w:r>
          </w:p>
        </w:tc>
        <w:tc>
          <w:tcPr>
            <w:tcW w:w="1912" w:type="dxa"/>
          </w:tcPr>
          <w:p w14:paraId="67C502BA" w14:textId="77777777" w:rsidR="00967266" w:rsidRDefault="008E6CB6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Amount</w:t>
            </w:r>
          </w:p>
        </w:tc>
      </w:tr>
      <w:tr w:rsidR="00967266" w14:paraId="1C85657F" w14:textId="77777777">
        <w:trPr>
          <w:tblHeader/>
        </w:trPr>
        <w:tc>
          <w:tcPr>
            <w:tcW w:w="988" w:type="dxa"/>
            <w:shd w:val="clear" w:color="auto" w:fill="auto"/>
          </w:tcPr>
          <w:p w14:paraId="7372CC11" w14:textId="77777777" w:rsidR="00967266" w:rsidRDefault="008E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</w:t>
            </w:r>
          </w:p>
        </w:tc>
        <w:tc>
          <w:tcPr>
            <w:tcW w:w="5670" w:type="dxa"/>
            <w:shd w:val="clear" w:color="auto" w:fill="auto"/>
          </w:tcPr>
          <w:p w14:paraId="160BA070" w14:textId="77777777" w:rsidR="00967266" w:rsidRDefault="008E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CAD Route </w:t>
            </w:r>
            <w:proofErr w:type="spellStart"/>
            <w:r>
              <w:t>InnoVinnprom</w:t>
            </w:r>
            <w:proofErr w:type="spellEnd"/>
            <w:r>
              <w:t xml:space="preserve"> 2.0.17</w:t>
            </w:r>
          </w:p>
        </w:tc>
        <w:tc>
          <w:tcPr>
            <w:tcW w:w="1912" w:type="dxa"/>
            <w:shd w:val="clear" w:color="auto" w:fill="auto"/>
          </w:tcPr>
          <w:p w14:paraId="5716B0B1" w14:textId="77777777" w:rsidR="00967266" w:rsidRDefault="008E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 </w:t>
            </w:r>
            <w:proofErr w:type="spellStart"/>
            <w:r>
              <w:t>lic</w:t>
            </w:r>
            <w:proofErr w:type="spellEnd"/>
          </w:p>
        </w:tc>
      </w:tr>
      <w:tr w:rsidR="00967266" w14:paraId="63F8FC40" w14:textId="77777777">
        <w:trPr>
          <w:tblHeader/>
        </w:trPr>
        <w:tc>
          <w:tcPr>
            <w:tcW w:w="988" w:type="dxa"/>
            <w:shd w:val="clear" w:color="auto" w:fill="auto"/>
          </w:tcPr>
          <w:p w14:paraId="449381E4" w14:textId="77777777" w:rsidR="00967266" w:rsidRDefault="008E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</w:t>
            </w:r>
          </w:p>
        </w:tc>
        <w:tc>
          <w:tcPr>
            <w:tcW w:w="5670" w:type="dxa"/>
            <w:shd w:val="clear" w:color="auto" w:fill="auto"/>
          </w:tcPr>
          <w:p w14:paraId="69EAEFFA" w14:textId="77777777" w:rsidR="00967266" w:rsidRDefault="008E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Java 11.0.15</w:t>
            </w:r>
          </w:p>
        </w:tc>
        <w:tc>
          <w:tcPr>
            <w:tcW w:w="1912" w:type="dxa"/>
            <w:shd w:val="clear" w:color="auto" w:fill="auto"/>
          </w:tcPr>
          <w:p w14:paraId="75053617" w14:textId="77777777" w:rsidR="00967266" w:rsidRDefault="008E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 </w:t>
            </w:r>
            <w:proofErr w:type="spellStart"/>
            <w:r>
              <w:t>lic</w:t>
            </w:r>
            <w:proofErr w:type="spellEnd"/>
          </w:p>
        </w:tc>
      </w:tr>
      <w:tr w:rsidR="00967266" w14:paraId="31705F73" w14:textId="77777777">
        <w:trPr>
          <w:tblHeader/>
        </w:trPr>
        <w:tc>
          <w:tcPr>
            <w:tcW w:w="988" w:type="dxa"/>
            <w:shd w:val="clear" w:color="auto" w:fill="auto"/>
          </w:tcPr>
          <w:p w14:paraId="61F212AB" w14:textId="77777777" w:rsidR="00967266" w:rsidRDefault="008E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</w:t>
            </w:r>
          </w:p>
        </w:tc>
        <w:tc>
          <w:tcPr>
            <w:tcW w:w="5670" w:type="dxa"/>
            <w:shd w:val="clear" w:color="auto" w:fill="auto"/>
          </w:tcPr>
          <w:p w14:paraId="1EC307C9" w14:textId="77777777" w:rsidR="00967266" w:rsidRDefault="008E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NodeJS 16.15.1</w:t>
            </w:r>
          </w:p>
        </w:tc>
        <w:tc>
          <w:tcPr>
            <w:tcW w:w="1912" w:type="dxa"/>
            <w:shd w:val="clear" w:color="auto" w:fill="auto"/>
          </w:tcPr>
          <w:p w14:paraId="3B0E5F72" w14:textId="77777777" w:rsidR="00967266" w:rsidRDefault="008E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 </w:t>
            </w:r>
            <w:proofErr w:type="spellStart"/>
            <w:r>
              <w:t>lic</w:t>
            </w:r>
            <w:proofErr w:type="spellEnd"/>
          </w:p>
        </w:tc>
      </w:tr>
      <w:tr w:rsidR="00967266" w14:paraId="3C069326" w14:textId="77777777">
        <w:trPr>
          <w:tblHeader/>
        </w:trPr>
        <w:tc>
          <w:tcPr>
            <w:tcW w:w="988" w:type="dxa"/>
            <w:shd w:val="clear" w:color="auto" w:fill="auto"/>
          </w:tcPr>
          <w:p w14:paraId="3F0A79BF" w14:textId="77777777" w:rsidR="00967266" w:rsidRDefault="008E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</w:t>
            </w:r>
          </w:p>
        </w:tc>
        <w:tc>
          <w:tcPr>
            <w:tcW w:w="5670" w:type="dxa"/>
            <w:shd w:val="clear" w:color="auto" w:fill="auto"/>
          </w:tcPr>
          <w:p w14:paraId="0FED6C5B" w14:textId="77777777" w:rsidR="00967266" w:rsidRDefault="008E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React 16.13.1</w:t>
            </w:r>
          </w:p>
        </w:tc>
        <w:tc>
          <w:tcPr>
            <w:tcW w:w="1912" w:type="dxa"/>
            <w:shd w:val="clear" w:color="auto" w:fill="auto"/>
          </w:tcPr>
          <w:p w14:paraId="22629BFA" w14:textId="77777777" w:rsidR="00967266" w:rsidRDefault="008E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 </w:t>
            </w:r>
            <w:proofErr w:type="spellStart"/>
            <w:r>
              <w:t>lic</w:t>
            </w:r>
            <w:proofErr w:type="spellEnd"/>
          </w:p>
        </w:tc>
      </w:tr>
      <w:tr w:rsidR="00967266" w14:paraId="1AAD280D" w14:textId="77777777">
        <w:trPr>
          <w:tblHeader/>
        </w:trPr>
        <w:tc>
          <w:tcPr>
            <w:tcW w:w="988" w:type="dxa"/>
            <w:shd w:val="clear" w:color="auto" w:fill="auto"/>
          </w:tcPr>
          <w:p w14:paraId="6347DDA9" w14:textId="77777777" w:rsidR="00967266" w:rsidRDefault="008E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</w:t>
            </w:r>
          </w:p>
        </w:tc>
        <w:tc>
          <w:tcPr>
            <w:tcW w:w="5670" w:type="dxa"/>
            <w:shd w:val="clear" w:color="auto" w:fill="auto"/>
          </w:tcPr>
          <w:p w14:paraId="570F99D3" w14:textId="77777777" w:rsidR="00967266" w:rsidRDefault="008E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Bootstrap 4.6</w:t>
            </w:r>
          </w:p>
        </w:tc>
        <w:tc>
          <w:tcPr>
            <w:tcW w:w="1912" w:type="dxa"/>
            <w:shd w:val="clear" w:color="auto" w:fill="auto"/>
          </w:tcPr>
          <w:p w14:paraId="0C8D100B" w14:textId="77777777" w:rsidR="00967266" w:rsidRDefault="008E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 </w:t>
            </w:r>
            <w:proofErr w:type="spellStart"/>
            <w:r>
              <w:t>lic</w:t>
            </w:r>
            <w:proofErr w:type="spellEnd"/>
          </w:p>
        </w:tc>
      </w:tr>
      <w:tr w:rsidR="00967266" w14:paraId="59189D36" w14:textId="77777777">
        <w:trPr>
          <w:tblHeader/>
        </w:trPr>
        <w:tc>
          <w:tcPr>
            <w:tcW w:w="988" w:type="dxa"/>
            <w:shd w:val="clear" w:color="auto" w:fill="auto"/>
          </w:tcPr>
          <w:p w14:paraId="7FE63B15" w14:textId="77777777" w:rsidR="00967266" w:rsidRDefault="008E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6</w:t>
            </w:r>
          </w:p>
        </w:tc>
        <w:tc>
          <w:tcPr>
            <w:tcW w:w="5670" w:type="dxa"/>
            <w:shd w:val="clear" w:color="auto" w:fill="auto"/>
          </w:tcPr>
          <w:p w14:paraId="3E7595F5" w14:textId="77777777" w:rsidR="00967266" w:rsidRDefault="008E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Grafana 7.1.15</w:t>
            </w:r>
          </w:p>
        </w:tc>
        <w:tc>
          <w:tcPr>
            <w:tcW w:w="1912" w:type="dxa"/>
            <w:shd w:val="clear" w:color="auto" w:fill="auto"/>
          </w:tcPr>
          <w:p w14:paraId="40069F43" w14:textId="77777777" w:rsidR="00967266" w:rsidRDefault="008E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 </w:t>
            </w:r>
            <w:proofErr w:type="spellStart"/>
            <w:r>
              <w:t>lic</w:t>
            </w:r>
            <w:proofErr w:type="spellEnd"/>
          </w:p>
        </w:tc>
      </w:tr>
      <w:tr w:rsidR="00967266" w14:paraId="23E8692E" w14:textId="77777777">
        <w:trPr>
          <w:trHeight w:val="195"/>
          <w:tblHeader/>
        </w:trPr>
        <w:tc>
          <w:tcPr>
            <w:tcW w:w="988" w:type="dxa"/>
            <w:shd w:val="clear" w:color="auto" w:fill="auto"/>
          </w:tcPr>
          <w:p w14:paraId="20541296" w14:textId="77777777" w:rsidR="00967266" w:rsidRDefault="008E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</w:t>
            </w:r>
          </w:p>
        </w:tc>
        <w:tc>
          <w:tcPr>
            <w:tcW w:w="5670" w:type="dxa"/>
            <w:shd w:val="clear" w:color="auto" w:fill="auto"/>
          </w:tcPr>
          <w:p w14:paraId="5459C288" w14:textId="77777777" w:rsidR="00967266" w:rsidRDefault="008E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Guacamole 1.1.0 or </w:t>
            </w:r>
            <w:proofErr w:type="spellStart"/>
            <w:r>
              <w:t>MeshCentral</w:t>
            </w:r>
            <w:proofErr w:type="spellEnd"/>
            <w:r>
              <w:t xml:space="preserve"> 0.9.61</w:t>
            </w:r>
          </w:p>
        </w:tc>
        <w:tc>
          <w:tcPr>
            <w:tcW w:w="1912" w:type="dxa"/>
            <w:shd w:val="clear" w:color="auto" w:fill="auto"/>
          </w:tcPr>
          <w:p w14:paraId="1288C489" w14:textId="77777777" w:rsidR="00967266" w:rsidRDefault="008E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 </w:t>
            </w:r>
            <w:proofErr w:type="spellStart"/>
            <w:r>
              <w:t>lic</w:t>
            </w:r>
            <w:proofErr w:type="spellEnd"/>
          </w:p>
        </w:tc>
      </w:tr>
      <w:tr w:rsidR="00967266" w14:paraId="4C555551" w14:textId="77777777">
        <w:trPr>
          <w:tblHeader/>
        </w:trPr>
        <w:tc>
          <w:tcPr>
            <w:tcW w:w="988" w:type="dxa"/>
            <w:shd w:val="clear" w:color="auto" w:fill="auto"/>
          </w:tcPr>
          <w:p w14:paraId="2617C009" w14:textId="77777777" w:rsidR="00967266" w:rsidRDefault="008E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</w:t>
            </w:r>
          </w:p>
        </w:tc>
        <w:tc>
          <w:tcPr>
            <w:tcW w:w="5670" w:type="dxa"/>
            <w:shd w:val="clear" w:color="auto" w:fill="auto"/>
          </w:tcPr>
          <w:p w14:paraId="782EE731" w14:textId="77777777" w:rsidR="00967266" w:rsidRDefault="008E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PostgreSQL 14.4 with </w:t>
            </w:r>
            <w:proofErr w:type="spellStart"/>
            <w:r>
              <w:t>TimescaleDB</w:t>
            </w:r>
            <w:proofErr w:type="spellEnd"/>
            <w:r>
              <w:t xml:space="preserve"> 2.7</w:t>
            </w:r>
          </w:p>
        </w:tc>
        <w:tc>
          <w:tcPr>
            <w:tcW w:w="1912" w:type="dxa"/>
            <w:shd w:val="clear" w:color="auto" w:fill="auto"/>
          </w:tcPr>
          <w:p w14:paraId="3A683F68" w14:textId="77777777" w:rsidR="00967266" w:rsidRDefault="008E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 </w:t>
            </w:r>
            <w:proofErr w:type="spellStart"/>
            <w:r>
              <w:t>lic</w:t>
            </w:r>
            <w:proofErr w:type="spellEnd"/>
          </w:p>
        </w:tc>
      </w:tr>
      <w:tr w:rsidR="00967266" w14:paraId="4039104A" w14:textId="77777777">
        <w:trPr>
          <w:tblHeader/>
        </w:trPr>
        <w:tc>
          <w:tcPr>
            <w:tcW w:w="988" w:type="dxa"/>
            <w:shd w:val="clear" w:color="auto" w:fill="auto"/>
          </w:tcPr>
          <w:p w14:paraId="00B6EAC8" w14:textId="77777777" w:rsidR="00967266" w:rsidRDefault="008E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9</w:t>
            </w:r>
          </w:p>
        </w:tc>
        <w:tc>
          <w:tcPr>
            <w:tcW w:w="5670" w:type="dxa"/>
            <w:shd w:val="clear" w:color="auto" w:fill="auto"/>
          </w:tcPr>
          <w:p w14:paraId="0459B2C8" w14:textId="77777777" w:rsidR="00967266" w:rsidRDefault="008E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Spring boot 2.6</w:t>
            </w:r>
          </w:p>
        </w:tc>
        <w:tc>
          <w:tcPr>
            <w:tcW w:w="1912" w:type="dxa"/>
            <w:shd w:val="clear" w:color="auto" w:fill="auto"/>
          </w:tcPr>
          <w:p w14:paraId="002C5803" w14:textId="77777777" w:rsidR="00967266" w:rsidRDefault="008E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 </w:t>
            </w:r>
            <w:proofErr w:type="spellStart"/>
            <w:r>
              <w:t>lic</w:t>
            </w:r>
            <w:proofErr w:type="spellEnd"/>
          </w:p>
        </w:tc>
      </w:tr>
      <w:tr w:rsidR="00967266" w14:paraId="597C1A86" w14:textId="77777777">
        <w:trPr>
          <w:tblHeader/>
        </w:trPr>
        <w:tc>
          <w:tcPr>
            <w:tcW w:w="988" w:type="dxa"/>
            <w:shd w:val="clear" w:color="auto" w:fill="auto"/>
          </w:tcPr>
          <w:p w14:paraId="6832ACFE" w14:textId="77777777" w:rsidR="00967266" w:rsidRDefault="008E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10</w:t>
            </w:r>
          </w:p>
        </w:tc>
        <w:tc>
          <w:tcPr>
            <w:tcW w:w="5670" w:type="dxa"/>
            <w:shd w:val="clear" w:color="auto" w:fill="auto"/>
          </w:tcPr>
          <w:p w14:paraId="7B237552" w14:textId="77777777" w:rsidR="00967266" w:rsidRDefault="008E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Python 3</w:t>
            </w:r>
          </w:p>
        </w:tc>
        <w:tc>
          <w:tcPr>
            <w:tcW w:w="1912" w:type="dxa"/>
            <w:shd w:val="clear" w:color="auto" w:fill="auto"/>
          </w:tcPr>
          <w:p w14:paraId="1A58BDF5" w14:textId="77777777" w:rsidR="00967266" w:rsidRDefault="008E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 </w:t>
            </w:r>
            <w:proofErr w:type="spellStart"/>
            <w:r>
              <w:t>lic</w:t>
            </w:r>
            <w:proofErr w:type="spellEnd"/>
          </w:p>
        </w:tc>
      </w:tr>
      <w:tr w:rsidR="00967266" w14:paraId="3E65C7CD" w14:textId="77777777">
        <w:trPr>
          <w:tblHeader/>
        </w:trPr>
        <w:tc>
          <w:tcPr>
            <w:tcW w:w="988" w:type="dxa"/>
            <w:shd w:val="clear" w:color="auto" w:fill="auto"/>
          </w:tcPr>
          <w:p w14:paraId="09125B34" w14:textId="77777777" w:rsidR="00967266" w:rsidRDefault="008E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11</w:t>
            </w:r>
          </w:p>
        </w:tc>
        <w:tc>
          <w:tcPr>
            <w:tcW w:w="5670" w:type="dxa"/>
            <w:shd w:val="clear" w:color="auto" w:fill="auto"/>
          </w:tcPr>
          <w:p w14:paraId="2041892C" w14:textId="77777777" w:rsidR="00967266" w:rsidRDefault="008E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Google Collab</w:t>
            </w:r>
          </w:p>
        </w:tc>
        <w:tc>
          <w:tcPr>
            <w:tcW w:w="1912" w:type="dxa"/>
            <w:shd w:val="clear" w:color="auto" w:fill="auto"/>
          </w:tcPr>
          <w:p w14:paraId="0D382811" w14:textId="77777777" w:rsidR="00967266" w:rsidRDefault="008E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 </w:t>
            </w:r>
            <w:proofErr w:type="spellStart"/>
            <w:r>
              <w:t>lic</w:t>
            </w:r>
            <w:proofErr w:type="spellEnd"/>
          </w:p>
        </w:tc>
      </w:tr>
      <w:tr w:rsidR="00967266" w14:paraId="02622DC8" w14:textId="77777777">
        <w:trPr>
          <w:tblHeader/>
        </w:trPr>
        <w:tc>
          <w:tcPr>
            <w:tcW w:w="988" w:type="dxa"/>
            <w:shd w:val="clear" w:color="auto" w:fill="auto"/>
          </w:tcPr>
          <w:p w14:paraId="61AEE314" w14:textId="77777777" w:rsidR="00967266" w:rsidRDefault="008E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12</w:t>
            </w:r>
          </w:p>
        </w:tc>
        <w:tc>
          <w:tcPr>
            <w:tcW w:w="5670" w:type="dxa"/>
            <w:shd w:val="clear" w:color="auto" w:fill="auto"/>
          </w:tcPr>
          <w:p w14:paraId="0D4A6DC8" w14:textId="77777777" w:rsidR="00967266" w:rsidRDefault="008E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PyTorch</w:t>
            </w:r>
            <w:proofErr w:type="spellEnd"/>
            <w:r>
              <w:t xml:space="preserve"> 1.11.0</w:t>
            </w:r>
          </w:p>
        </w:tc>
        <w:tc>
          <w:tcPr>
            <w:tcW w:w="1912" w:type="dxa"/>
            <w:shd w:val="clear" w:color="auto" w:fill="auto"/>
          </w:tcPr>
          <w:p w14:paraId="7B623A44" w14:textId="77777777" w:rsidR="00967266" w:rsidRDefault="008E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 </w:t>
            </w:r>
            <w:proofErr w:type="spellStart"/>
            <w:r>
              <w:t>lic</w:t>
            </w:r>
            <w:proofErr w:type="spellEnd"/>
          </w:p>
        </w:tc>
      </w:tr>
    </w:tbl>
    <w:p w14:paraId="0B82F480" w14:textId="77777777" w:rsidR="00967266" w:rsidRDefault="00967266"/>
    <w:sectPr w:rsidR="00967266">
      <w:pgSz w:w="11908" w:h="16833"/>
      <w:pgMar w:top="1133" w:right="850" w:bottom="1133" w:left="1417" w:header="900" w:footer="154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rlito Bold">
    <w:panose1 w:val="020F050202020403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13CC4"/>
    <w:multiLevelType w:val="multilevel"/>
    <w:tmpl w:val="C85876F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  <w:rPr>
        <w:rFonts w:ascii="Arial" w:eastAsia="Arial" w:hAnsi="Arial" w:cs="Arial"/>
        <w:sz w:val="22"/>
        <w:szCs w:val="22"/>
      </w:r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1" w15:restartNumberingAfterBreak="0">
    <w:nsid w:val="4E914C9C"/>
    <w:multiLevelType w:val="multilevel"/>
    <w:tmpl w:val="A6746372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266"/>
    <w:rsid w:val="008E6CB6"/>
    <w:rsid w:val="0096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BF1D5"/>
  <w15:docId w15:val="{CBD3AF3F-D35C-4AD0-9771-ACC8C0B6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="Montserrat" w:hAnsi="Montserrat" w:cs="Montserrat"/>
        <w:color w:val="1B264F"/>
        <w:lang w:val="en-GB" w:eastAsia="uk-UA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Pr>
      <w:rFonts w:ascii="Carlito Bold" w:eastAsia="Carlito Bold" w:hAnsi="Carlito Bold" w:cs="Carlito Bold"/>
      <w:b/>
      <w:sz w:val="40"/>
      <w:szCs w:val="40"/>
    </w:rPr>
  </w:style>
  <w:style w:type="paragraph" w:styleId="a4">
    <w:name w:val="Subtitle"/>
    <w:basedOn w:val="a"/>
    <w:next w:val="a"/>
    <w:uiPriority w:val="11"/>
    <w:qFormat/>
    <w:pPr>
      <w:spacing w:after="160"/>
    </w:pPr>
    <w:rPr>
      <w:rFonts w:ascii="Calibri" w:eastAsia="Calibri" w:hAnsi="Calibri" w:cs="Calibri"/>
      <w:color w:val="5F5F5F"/>
      <w:sz w:val="22"/>
      <w:szCs w:val="22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9E2F3"/>
    </w:tcPr>
  </w:style>
  <w:style w:type="table" w:customStyle="1" w:styleId="a6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9E2F3"/>
    </w:tcPr>
  </w:style>
  <w:style w:type="table" w:customStyle="1" w:styleId="a7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9E2F3"/>
    </w:tcPr>
  </w:style>
  <w:style w:type="table" w:customStyle="1" w:styleId="a8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9E2F3"/>
    </w:tcPr>
  </w:style>
  <w:style w:type="table" w:customStyle="1" w:styleId="a9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9E2F3"/>
    </w:tcPr>
  </w:style>
  <w:style w:type="table" w:customStyle="1" w:styleId="aa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9E2F3"/>
    </w:tcPr>
  </w:style>
  <w:style w:type="table" w:customStyle="1" w:styleId="ab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9E2F3"/>
    </w:tcPr>
  </w:style>
  <w:style w:type="table" w:customStyle="1" w:styleId="ac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9E2F3"/>
    </w:tcPr>
  </w:style>
  <w:style w:type="table" w:customStyle="1" w:styleId="ad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9E2F3"/>
    </w:tcPr>
  </w:style>
  <w:style w:type="table" w:customStyle="1" w:styleId="ae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9E2F3"/>
    </w:tcPr>
  </w:style>
  <w:style w:type="table" w:customStyle="1" w:styleId="af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9E2F3"/>
    </w:tcPr>
  </w:style>
  <w:style w:type="table" w:customStyle="1" w:styleId="af0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9E2F3"/>
    </w:tcPr>
  </w:style>
  <w:style w:type="table" w:customStyle="1" w:styleId="af1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9E2F3"/>
    </w:tcPr>
  </w:style>
  <w:style w:type="table" w:customStyle="1" w:styleId="af2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9E2F3"/>
    </w:tcPr>
  </w:style>
  <w:style w:type="table" w:customStyle="1" w:styleId="af3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9E2F3"/>
    </w:tcPr>
  </w:style>
  <w:style w:type="table" w:customStyle="1" w:styleId="af4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9E2F3"/>
    </w:tcPr>
  </w:style>
  <w:style w:type="table" w:customStyle="1" w:styleId="af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9E2F3"/>
    </w:tcPr>
  </w:style>
  <w:style w:type="table" w:customStyle="1" w:styleId="af6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9E2F3"/>
    </w:tcPr>
  </w:style>
  <w:style w:type="table" w:customStyle="1" w:styleId="af7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9E2F3"/>
    </w:tcPr>
  </w:style>
  <w:style w:type="table" w:customStyle="1" w:styleId="af8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9E2F3"/>
    </w:tcPr>
  </w:style>
  <w:style w:type="table" w:customStyle="1" w:styleId="af9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9E2F3"/>
    </w:tcPr>
  </w:style>
  <w:style w:type="table" w:customStyle="1" w:styleId="afa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9E2F3"/>
    </w:tcPr>
  </w:style>
  <w:style w:type="table" w:customStyle="1" w:styleId="afb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9E2F3"/>
    </w:tcPr>
  </w:style>
  <w:style w:type="table" w:customStyle="1" w:styleId="afc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9E2F3"/>
    </w:tcPr>
  </w:style>
  <w:style w:type="table" w:customStyle="1" w:styleId="afd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9E2F3"/>
    </w:tcPr>
  </w:style>
  <w:style w:type="table" w:customStyle="1" w:styleId="afe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9E2F3"/>
    </w:tcPr>
  </w:style>
  <w:style w:type="table" w:customStyle="1" w:styleId="aff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9E2F3"/>
    </w:tcPr>
    <w:tblStylePr w:type="firstRow">
      <w:tblPr/>
      <w:tcPr>
        <w:tcBorders>
          <w:top w:val="single" w:sz="6" w:space="0" w:color="FFFFFF"/>
          <w:left w:val="single" w:sz="6" w:space="0" w:color="FFFFFF"/>
          <w:right w:val="single" w:sz="6" w:space="0" w:color="FFFFFF"/>
          <w:insideV w:val="single" w:sz="6" w:space="0" w:color="FFFFFF"/>
        </w:tcBorders>
        <w:shd w:val="clear" w:color="auto" w:fill="4472C4"/>
        <w:vAlign w:val="top"/>
      </w:tcPr>
    </w:tblStylePr>
    <w:tblStylePr w:type="firstCol">
      <w:tblPr/>
      <w:tcPr>
        <w:tcBorders>
          <w:top w:val="single" w:sz="6" w:space="0" w:color="FFFFFF"/>
          <w:left w:val="single" w:sz="6" w:space="0" w:color="FFFFFF"/>
          <w:bottom w:val="single" w:sz="6" w:space="0" w:color="FFFFFF"/>
        </w:tcBorders>
        <w:shd w:val="clear" w:color="auto" w:fill="4472C4"/>
        <w:vAlign w:val="top"/>
      </w:tcPr>
    </w:tblStylePr>
    <w:tblStylePr w:type="band1Horz">
      <w:tblPr/>
      <w:tcPr>
        <w:shd w:val="clear" w:color="auto" w:fill="B4C6E7"/>
        <w:vAlign w:val="top"/>
      </w:tcPr>
    </w:tblStylePr>
  </w:style>
  <w:style w:type="table" w:customStyle="1" w:styleId="aff0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9E2F3"/>
    </w:tcPr>
    <w:tblStylePr w:type="firstRow">
      <w:tblPr/>
      <w:tcPr>
        <w:tcBorders>
          <w:top w:val="single" w:sz="6" w:space="0" w:color="4472C4"/>
          <w:left w:val="single" w:sz="6" w:space="0" w:color="4472C4"/>
          <w:bottom w:val="single" w:sz="6" w:space="0" w:color="4472C4"/>
          <w:right w:val="single" w:sz="6" w:space="0" w:color="4472C4"/>
          <w:insideV w:val="single" w:sz="6" w:space="0" w:color="4472C4"/>
        </w:tcBorders>
        <w:shd w:val="clear" w:color="auto" w:fill="4472C4"/>
        <w:vAlign w:val="top"/>
      </w:tcPr>
    </w:tblStylePr>
    <w:tblStylePr w:type="band1Horz">
      <w:tblPr/>
      <w:tcPr>
        <w:shd w:val="clear" w:color="auto" w:fill="D9E2F3"/>
        <w:vAlign w:val="top"/>
      </w:tcPr>
    </w:tblStylePr>
  </w:style>
  <w:style w:type="table" w:customStyle="1" w:styleId="aff1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9E2F3"/>
    </w:tcPr>
  </w:style>
  <w:style w:type="character" w:styleId="aff2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f3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table" w:styleId="aff4">
    <w:name w:val="Table Grid"/>
    <w:basedOn w:val="a1"/>
    <w:uiPriority w:val="39"/>
    <w:rsid w:val="003D6C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5">
    <w:basedOn w:val="a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</w:style>
  <w:style w:type="table" w:customStyle="1" w:styleId="aff6">
    <w:basedOn w:val="a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</w:style>
  <w:style w:type="table" w:customStyle="1" w:styleId="aff7">
    <w:basedOn w:val="a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drey.lukhverchik@innovinnpro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innovinnprom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SvFjmSaJctKka9bABnH2ZfydQg==">AMUW2mVP+gxjRcxFQp/IHbjRTHyRXTgxGRwU//oqUswZ8ymG3XxcqG5HymaDNPqXwaa2vePDTPwOLK5V78BM2fKGTQ3IzjTQsIswnEViwcKgUlh6MIOF/wsl+CMlCk4v+FubRBAu7af0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1596</Words>
  <Characters>910</Characters>
  <Application>Microsoft Office Word</Application>
  <DocSecurity>0</DocSecurity>
  <Lines>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Ildean</dc:creator>
  <cp:lastModifiedBy>Андрiй</cp:lastModifiedBy>
  <cp:revision>2</cp:revision>
  <dcterms:created xsi:type="dcterms:W3CDTF">2022-09-05T08:13:00Z</dcterms:created>
  <dcterms:modified xsi:type="dcterms:W3CDTF">2022-09-05T08:13:00Z</dcterms:modified>
</cp:coreProperties>
</file>